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6FBB" w14:textId="01F7B649" w:rsidR="00CD3433" w:rsidRPr="00D1494C" w:rsidRDefault="00D1494C" w:rsidP="004C70E4">
      <w:pPr>
        <w:pStyle w:val="Titre"/>
        <w:jc w:val="both"/>
        <w:rPr>
          <w:sz w:val="40"/>
          <w:szCs w:val="40"/>
          <w:lang w:bidi="fr-FR"/>
        </w:rPr>
      </w:pPr>
      <w:r w:rsidRPr="00D1494C">
        <w:rPr>
          <w:sz w:val="40"/>
          <w:szCs w:val="40"/>
        </w:rPr>
        <w:t xml:space="preserve">Cahier des clauses techniques particulières </w:t>
      </w:r>
      <w:r w:rsidR="00CD3433" w:rsidRPr="00D1494C">
        <w:rPr>
          <w:sz w:val="40"/>
          <w:szCs w:val="40"/>
          <w:lang w:bidi="fr-FR"/>
        </w:rPr>
        <w:t xml:space="preserve">pour la conception </w:t>
      </w:r>
      <w:r w:rsidR="00DB61F3">
        <w:rPr>
          <w:sz w:val="40"/>
          <w:szCs w:val="40"/>
          <w:lang w:bidi="fr-FR"/>
        </w:rPr>
        <w:t>d’un dispositif numérique de captation (son et images) pour deux salles professionnelles au Centre Pierre Cointreau (salle de restaurant : Atelier de Pierre et salle Bar)</w:t>
      </w:r>
    </w:p>
    <w:p w14:paraId="155F3604" w14:textId="452629B8" w:rsidR="00CD3433" w:rsidRPr="00E95610" w:rsidRDefault="00CD3433" w:rsidP="00CD3433">
      <w:pPr>
        <w:pStyle w:val="Titre1"/>
      </w:pPr>
      <w:r w:rsidRPr="00E95610">
        <w:t xml:space="preserve">1. Contexte </w:t>
      </w:r>
    </w:p>
    <w:p w14:paraId="7789DF9F" w14:textId="229B6823" w:rsidR="009E56AD" w:rsidRDefault="00CD3433" w:rsidP="00CD3433">
      <w:pPr>
        <w:jc w:val="both"/>
      </w:pPr>
      <w:r>
        <w:t xml:space="preserve">Le CFA de la CCI de Maine et Loire déploie, dans le </w:t>
      </w:r>
      <w:r w:rsidRPr="00427BF4">
        <w:t xml:space="preserve">cadre de sa stratégie numérique, </w:t>
      </w:r>
      <w:r w:rsidR="0075419F">
        <w:t>des outils et des dispositifs numériques</w:t>
      </w:r>
      <w:r w:rsidRPr="00427BF4">
        <w:t xml:space="preserve"> afin de proposer à ses apprentis </w:t>
      </w:r>
      <w:r w:rsidR="00A36DC4" w:rsidRPr="00427BF4">
        <w:t xml:space="preserve">une </w:t>
      </w:r>
      <w:r w:rsidRPr="00427BF4">
        <w:t>modalité pédagogique engageante et adapté</w:t>
      </w:r>
      <w:r w:rsidR="00A36DC4" w:rsidRPr="00427BF4">
        <w:t>e</w:t>
      </w:r>
      <w:r w:rsidRPr="00427BF4">
        <w:t xml:space="preserve"> à leur besoin</w:t>
      </w:r>
      <w:r w:rsidR="00192402">
        <w:t xml:space="preserve">, </w:t>
      </w:r>
      <w:r w:rsidR="0075419F">
        <w:t xml:space="preserve">aux professionnels, aux laboratoires et centres de recherches pour leur projet de </w:t>
      </w:r>
      <w:r w:rsidR="00192402">
        <w:t xml:space="preserve">développement et de </w:t>
      </w:r>
      <w:r w:rsidR="0075419F">
        <w:t>recherche lié</w:t>
      </w:r>
      <w:r w:rsidR="00283108">
        <w:t xml:space="preserve"> à l</w:t>
      </w:r>
      <w:r w:rsidR="00353BEF">
        <w:t>a transition alimentaire</w:t>
      </w:r>
      <w:r w:rsidR="00283108">
        <w:t xml:space="preserve"> et au bien manger.</w:t>
      </w:r>
    </w:p>
    <w:p w14:paraId="472DE446" w14:textId="68E01E37" w:rsidR="00C2037C" w:rsidRDefault="00C2037C" w:rsidP="00CD3433">
      <w:pPr>
        <w:jc w:val="both"/>
      </w:pPr>
      <w:r>
        <w:t>L’objet du présent marché consiste en l’acquisition d’équipements de matériel</w:t>
      </w:r>
      <w:r w:rsidR="00CF1C87">
        <w:t>s</w:t>
      </w:r>
      <w:r>
        <w:t xml:space="preserve"> audio-visuel</w:t>
      </w:r>
      <w:r w:rsidR="00CF1C87">
        <w:t>s</w:t>
      </w:r>
      <w:r>
        <w:t xml:space="preserve"> </w:t>
      </w:r>
      <w:r w:rsidR="00E41106">
        <w:t xml:space="preserve">ainsi </w:t>
      </w:r>
      <w:r>
        <w:t>que des logiciels associés. L’ensemble de ces fournitures permettra la création d</w:t>
      </w:r>
      <w:r w:rsidR="00283108">
        <w:t>e dispositif numérique installé dans des salles professionnelles à savoir un restaurant d’application et un bar d’application</w:t>
      </w:r>
      <w:r w:rsidR="000C59A1">
        <w:t xml:space="preserve">. Ces dispositifs </w:t>
      </w:r>
      <w:r w:rsidR="006854FB">
        <w:t>serviront aux formations liées aux métiers de la cuisine, de la salle et du bar</w:t>
      </w:r>
      <w:r w:rsidR="0024595E">
        <w:t xml:space="preserve">, mais aussi </w:t>
      </w:r>
      <w:r w:rsidR="00192402">
        <w:t xml:space="preserve">de lieu d’observation tout </w:t>
      </w:r>
      <w:r w:rsidR="0024595E" w:rsidRPr="0024595E">
        <w:t>en produisant</w:t>
      </w:r>
      <w:r w:rsidR="00E41106">
        <w:t xml:space="preserve"> </w:t>
      </w:r>
      <w:r w:rsidR="0024595E" w:rsidRPr="0024595E">
        <w:t xml:space="preserve">et valorisant des connaissances scientifiques </w:t>
      </w:r>
      <w:r w:rsidR="0024595E">
        <w:t>à partir de données recueilli</w:t>
      </w:r>
      <w:r w:rsidR="00E41106">
        <w:t>es par de la captation sur des usages et les pratiques alimentaires</w:t>
      </w:r>
      <w:r w:rsidR="00192402">
        <w:t>. Ces informations seront</w:t>
      </w:r>
      <w:r w:rsidR="00E41106">
        <w:t xml:space="preserve"> destinées à enrichir notre pédagogie en formation et aux études pilotées par des centres de recherche.</w:t>
      </w:r>
    </w:p>
    <w:p w14:paraId="578AE85E" w14:textId="7804E4DB" w:rsidR="00A36DC4" w:rsidRDefault="00A36DC4" w:rsidP="00A36DC4">
      <w:pPr>
        <w:pStyle w:val="Titre1"/>
      </w:pPr>
      <w:r>
        <w:t>2</w:t>
      </w:r>
      <w:r w:rsidRPr="00E95610">
        <w:t xml:space="preserve">. </w:t>
      </w:r>
      <w:r w:rsidR="00E41106">
        <w:t>U</w:t>
      </w:r>
      <w:r w:rsidRPr="00A36DC4">
        <w:t xml:space="preserve">tilisations prévues </w:t>
      </w:r>
      <w:r w:rsidR="00E41106">
        <w:t>des dispositifs numériques</w:t>
      </w:r>
    </w:p>
    <w:p w14:paraId="359FF824" w14:textId="76A8A3B4" w:rsidR="00524416" w:rsidRDefault="00524416" w:rsidP="00524416">
      <w:pPr>
        <w:numPr>
          <w:ilvl w:val="0"/>
          <w:numId w:val="13"/>
        </w:numPr>
        <w:jc w:val="both"/>
      </w:pPr>
      <w:r w:rsidRPr="00524416">
        <w:rPr>
          <w:b/>
          <w:bCs/>
        </w:rPr>
        <w:t>Formation et apprentissage</w:t>
      </w:r>
      <w:r w:rsidRPr="00524416">
        <w:t> : Ces dispositifs permettent d’</w:t>
      </w:r>
      <w:r w:rsidR="001D7476">
        <w:t>observer voire d’</w:t>
      </w:r>
      <w:r w:rsidRPr="00524416">
        <w:t xml:space="preserve">enregistrer des situations réelles, comme le service en salle ou la préparation de plats, </w:t>
      </w:r>
      <w:r w:rsidR="003D795F">
        <w:t>la réalisation de cocktails</w:t>
      </w:r>
      <w:r w:rsidR="00192402">
        <w:t xml:space="preserve"> ou la dégustation de vin</w:t>
      </w:r>
      <w:r w:rsidR="003D795F">
        <w:t xml:space="preserve"> </w:t>
      </w:r>
      <w:r w:rsidR="00192402">
        <w:t>dans un objectif de formation</w:t>
      </w:r>
      <w:r w:rsidRPr="00524416">
        <w:t xml:space="preserve">. Les </w:t>
      </w:r>
      <w:r w:rsidR="000E5982">
        <w:t>captations audio vidéos</w:t>
      </w:r>
      <w:r w:rsidRPr="00524416">
        <w:t xml:space="preserve"> p</w:t>
      </w:r>
      <w:r w:rsidR="003D795F">
        <w:t>ourront</w:t>
      </w:r>
      <w:r w:rsidRPr="00524416">
        <w:t xml:space="preserve"> servir de supports pédagogiques pour analyser et améliorer les techniques et comportements</w:t>
      </w:r>
      <w:r w:rsidR="003D795F">
        <w:t xml:space="preserve"> des apprenants</w:t>
      </w:r>
      <w:r w:rsidRPr="00524416">
        <w:t>.</w:t>
      </w:r>
      <w:r>
        <w:t xml:space="preserve"> </w:t>
      </w:r>
      <w:r w:rsidRPr="00524416">
        <w:t xml:space="preserve">En </w:t>
      </w:r>
      <w:r w:rsidR="00192402">
        <w:t xml:space="preserve">observant ou en </w:t>
      </w:r>
      <w:r w:rsidRPr="00524416">
        <w:t>analysant les enregistrements, l’établissement p</w:t>
      </w:r>
      <w:r w:rsidR="000E5982">
        <w:t>ourra</w:t>
      </w:r>
      <w:r w:rsidRPr="00524416">
        <w:t xml:space="preserve"> identifier des axes d’amélioration </w:t>
      </w:r>
      <w:r w:rsidR="003D795F">
        <w:t>dans</w:t>
      </w:r>
      <w:r w:rsidRPr="00524416">
        <w:t xml:space="preserve"> le service, la relation client ou la gestion de la salle, afin d’offrir une expérience plus satisfaisante aux clients</w:t>
      </w:r>
      <w:r w:rsidR="00D601A9">
        <w:t xml:space="preserve"> et de parfaire l’expertise du jeune</w:t>
      </w:r>
      <w:r w:rsidR="000E5982">
        <w:t>. Ces captations p</w:t>
      </w:r>
      <w:r w:rsidR="00D601A9">
        <w:t>ourront</w:t>
      </w:r>
      <w:r w:rsidR="000E5982">
        <w:t xml:space="preserve"> également servir à décrypter un geste, une technique.</w:t>
      </w:r>
    </w:p>
    <w:p w14:paraId="68A6E466" w14:textId="097EBBEF" w:rsidR="000E5982" w:rsidRPr="00524416" w:rsidRDefault="000E5982" w:rsidP="00524416">
      <w:pPr>
        <w:numPr>
          <w:ilvl w:val="0"/>
          <w:numId w:val="13"/>
        </w:numPr>
        <w:jc w:val="both"/>
      </w:pPr>
      <w:r>
        <w:rPr>
          <w:b/>
          <w:bCs/>
        </w:rPr>
        <w:t>Concours, événements, master Class </w:t>
      </w:r>
      <w:r w:rsidRPr="000E5982">
        <w:t>:</w:t>
      </w:r>
      <w:r>
        <w:t xml:space="preserve"> la captation audio vidéo permettra de </w:t>
      </w:r>
      <w:r w:rsidR="00D601A9">
        <w:t>valoriser une technique par le zoom du geste, de filmer en live, permettant ainsi de diffuser l’événement à un public éloigné des salles Bar ou du restaurant.</w:t>
      </w:r>
    </w:p>
    <w:p w14:paraId="209B45B8" w14:textId="75E157C8" w:rsidR="000E5982" w:rsidRDefault="003D795F" w:rsidP="000E5982">
      <w:pPr>
        <w:pStyle w:val="Paragraphedeliste"/>
        <w:numPr>
          <w:ilvl w:val="0"/>
          <w:numId w:val="13"/>
        </w:numPr>
        <w:jc w:val="both"/>
      </w:pPr>
      <w:r w:rsidRPr="003D795F">
        <w:rPr>
          <w:b/>
          <w:bCs/>
        </w:rPr>
        <w:t>Recherche :</w:t>
      </w:r>
      <w:r>
        <w:t xml:space="preserve"> Ces salles seront des lieux </w:t>
      </w:r>
      <w:r w:rsidRPr="003D795F">
        <w:t xml:space="preserve">d’innovations, </w:t>
      </w:r>
      <w:r>
        <w:t>en associant</w:t>
      </w:r>
      <w:r w:rsidRPr="003D795F">
        <w:t xml:space="preserve"> savoirs et savoir-faire complémentaires des chercheurs et </w:t>
      </w:r>
      <w:r>
        <w:t xml:space="preserve">des </w:t>
      </w:r>
      <w:r w:rsidRPr="003D795F">
        <w:t>professionnels pour anticiper et décoder les grandes tendances de demain.</w:t>
      </w:r>
      <w:r>
        <w:t xml:space="preserve"> Ces dispositifs numériques </w:t>
      </w:r>
      <w:r w:rsidR="000E5982">
        <w:t xml:space="preserve">permettront d’obtenir </w:t>
      </w:r>
      <w:r w:rsidR="000E5982" w:rsidRPr="000E5982">
        <w:t xml:space="preserve">des données précises pour innover, améliorer la qualité des produits, et mieux répondre aux </w:t>
      </w:r>
      <w:r w:rsidR="000E5982" w:rsidRPr="000E5982">
        <w:lastRenderedPageBreak/>
        <w:t>attentes des consommateur</w:t>
      </w:r>
      <w:r w:rsidR="000E5982">
        <w:t xml:space="preserve">s à travers les </w:t>
      </w:r>
      <w:r w:rsidR="000E5982" w:rsidRPr="000E5982">
        <w:t xml:space="preserve">retours des dégustations, </w:t>
      </w:r>
      <w:r w:rsidR="000E5982">
        <w:t xml:space="preserve">les </w:t>
      </w:r>
      <w:r w:rsidR="000E5982" w:rsidRPr="000E5982">
        <w:t xml:space="preserve">préférences des consommateurs, et </w:t>
      </w:r>
      <w:r w:rsidR="000E5982">
        <w:t xml:space="preserve">les </w:t>
      </w:r>
      <w:r w:rsidR="000E5982" w:rsidRPr="000E5982">
        <w:t>évaluations gustatives.</w:t>
      </w:r>
      <w:r w:rsidR="00A06372">
        <w:t xml:space="preserve"> Un flux entre la salle Food Lab et le restaurant permettra aux utilisateurs du food lab d’observer voire d’</w:t>
      </w:r>
      <w:r w:rsidR="00D6542C">
        <w:t>interagir</w:t>
      </w:r>
      <w:r w:rsidR="00A06372">
        <w:t xml:space="preserve"> aux remarques des consommateurs</w:t>
      </w:r>
      <w:r w:rsidR="00D6542C">
        <w:t xml:space="preserve"> (focus groupe dédié à cette expérimentation)</w:t>
      </w:r>
      <w:r w:rsidR="00A06372">
        <w:t xml:space="preserve"> installés dans la salle de restaurant</w:t>
      </w:r>
      <w:r w:rsidR="008344F2">
        <w:t xml:space="preserve"> (son et image). Le food lab deviendra un poste d’observation</w:t>
      </w:r>
      <w:r w:rsidR="00D6542C">
        <w:t xml:space="preserve"> et d’analyse.</w:t>
      </w:r>
    </w:p>
    <w:p w14:paraId="2A60B875" w14:textId="77777777" w:rsidR="00A06372" w:rsidRDefault="00A06372" w:rsidP="00A06372">
      <w:pPr>
        <w:pStyle w:val="Paragraphedeliste"/>
        <w:jc w:val="both"/>
      </w:pPr>
    </w:p>
    <w:p w14:paraId="3F5556B4" w14:textId="250C1D63" w:rsidR="000E5982" w:rsidRDefault="00D601A9" w:rsidP="00D601A9">
      <w:pPr>
        <w:pStyle w:val="Paragraphedeliste"/>
        <w:jc w:val="both"/>
        <w:rPr>
          <w:b/>
          <w:bCs/>
        </w:rPr>
      </w:pPr>
      <w:r>
        <w:rPr>
          <w:b/>
          <w:bCs/>
        </w:rPr>
        <w:t>Il sera dès lors nécessaire d’avoir</w:t>
      </w:r>
      <w:r w:rsidR="00192402">
        <w:rPr>
          <w:b/>
          <w:bCs/>
        </w:rPr>
        <w:t xml:space="preserve"> une</w:t>
      </w:r>
      <w:r>
        <w:rPr>
          <w:b/>
          <w:bCs/>
        </w:rPr>
        <w:t xml:space="preserve"> capacité de stockage de données audio</w:t>
      </w:r>
      <w:r w:rsidR="00192402">
        <w:rPr>
          <w:b/>
          <w:bCs/>
        </w:rPr>
        <w:t>s</w:t>
      </w:r>
      <w:r>
        <w:rPr>
          <w:b/>
          <w:bCs/>
        </w:rPr>
        <w:t xml:space="preserve"> et vidéos. </w:t>
      </w:r>
      <w:r w:rsidR="000E5982" w:rsidRPr="00D601A9">
        <w:rPr>
          <w:b/>
          <w:bCs/>
        </w:rPr>
        <w:t xml:space="preserve">Tout cela sera possible grâce à de la captation audio vidéo, en plaçant caméras et micros au plafond du </w:t>
      </w:r>
      <w:r w:rsidR="000E5982" w:rsidRPr="00A16133">
        <w:rPr>
          <w:b/>
          <w:bCs/>
        </w:rPr>
        <w:t>restaurant</w:t>
      </w:r>
      <w:r w:rsidR="005C060B" w:rsidRPr="00A16133">
        <w:rPr>
          <w:b/>
          <w:bCs/>
        </w:rPr>
        <w:t xml:space="preserve"> </w:t>
      </w:r>
      <w:r w:rsidR="00905C2C" w:rsidRPr="00A16133">
        <w:rPr>
          <w:b/>
          <w:bCs/>
        </w:rPr>
        <w:t xml:space="preserve">de manière la plus discrète et en tenant compte de l’environnement professionnel (bruit </w:t>
      </w:r>
      <w:r w:rsidR="006D1495" w:rsidRPr="00A16133">
        <w:rPr>
          <w:b/>
          <w:bCs/>
        </w:rPr>
        <w:t>ambiant</w:t>
      </w:r>
      <w:r w:rsidR="001D1AD0" w:rsidRPr="00A16133">
        <w:rPr>
          <w:b/>
          <w:bCs/>
        </w:rPr>
        <w:t>, variation lumineuse</w:t>
      </w:r>
      <w:r w:rsidR="006D1495" w:rsidRPr="00A16133">
        <w:rPr>
          <w:b/>
          <w:bCs/>
        </w:rPr>
        <w:t>...</w:t>
      </w:r>
      <w:r w:rsidR="00905C2C" w:rsidRPr="00A16133">
        <w:rPr>
          <w:b/>
          <w:bCs/>
        </w:rPr>
        <w:t>)</w:t>
      </w:r>
      <w:r w:rsidRPr="00A16133">
        <w:rPr>
          <w:b/>
          <w:bCs/>
        </w:rPr>
        <w:t>.</w:t>
      </w:r>
    </w:p>
    <w:p w14:paraId="724A9174" w14:textId="72F47264" w:rsidR="00E43FA5" w:rsidRDefault="00E43FA5" w:rsidP="00E43FA5">
      <w:pPr>
        <w:pStyle w:val="Titre1"/>
      </w:pPr>
      <w:r>
        <w:t>3</w:t>
      </w:r>
      <w:r w:rsidRPr="00E95610">
        <w:t xml:space="preserve">. </w:t>
      </w:r>
      <w:r>
        <w:t>Présentation sommaire des espaces</w:t>
      </w:r>
    </w:p>
    <w:p w14:paraId="33A9ED8E" w14:textId="77777777" w:rsidR="002E731E" w:rsidRDefault="002E731E" w:rsidP="002442AB">
      <w:pPr>
        <w:pStyle w:val="Sansinterligne"/>
        <w:rPr>
          <w:b/>
          <w:bCs/>
        </w:rPr>
      </w:pPr>
    </w:p>
    <w:p w14:paraId="4DF81DD8" w14:textId="429DC667" w:rsidR="002E731E" w:rsidRPr="00A16133" w:rsidRDefault="002E731E" w:rsidP="002442AB">
      <w:pPr>
        <w:pStyle w:val="Sansinterligne"/>
        <w:rPr>
          <w:b/>
          <w:bCs/>
          <w:u w:val="single"/>
        </w:rPr>
      </w:pPr>
      <w:r w:rsidRPr="00A16133">
        <w:rPr>
          <w:b/>
          <w:bCs/>
          <w:u w:val="single"/>
        </w:rPr>
        <w:t>Food Lab</w:t>
      </w:r>
    </w:p>
    <w:p w14:paraId="4BB87FA0" w14:textId="5B4154DD" w:rsidR="002F2C03" w:rsidRPr="00A16133" w:rsidRDefault="002F2C03" w:rsidP="002442AB">
      <w:pPr>
        <w:pStyle w:val="Sansinterligne"/>
      </w:pPr>
      <w:r w:rsidRPr="00A16133">
        <w:t xml:space="preserve">La solution </w:t>
      </w:r>
      <w:r w:rsidR="00957874" w:rsidRPr="00A16133">
        <w:t xml:space="preserve">technique </w:t>
      </w:r>
      <w:r w:rsidRPr="00A16133">
        <w:t xml:space="preserve">actuellement </w:t>
      </w:r>
      <w:r w:rsidR="007158C3" w:rsidRPr="00A16133">
        <w:t xml:space="preserve">en production au Food Lab, permet la captation </w:t>
      </w:r>
      <w:r w:rsidR="00E753C0" w:rsidRPr="00A16133">
        <w:t>intelligente de l</w:t>
      </w:r>
      <w:r w:rsidR="00FE459A" w:rsidRPr="00A16133">
        <w:t>’image</w:t>
      </w:r>
      <w:r w:rsidR="00E753C0" w:rsidRPr="00A16133">
        <w:t xml:space="preserve"> et d</w:t>
      </w:r>
      <w:r w:rsidR="00FE459A" w:rsidRPr="00A16133">
        <w:t>u son</w:t>
      </w:r>
      <w:r w:rsidR="00E753C0" w:rsidRPr="00A16133">
        <w:t>. Plusieurs caméra</w:t>
      </w:r>
      <w:r w:rsidR="00230F60" w:rsidRPr="00A16133">
        <w:t>s</w:t>
      </w:r>
      <w:r w:rsidR="00E753C0" w:rsidRPr="00A16133">
        <w:t xml:space="preserve"> motorisées</w:t>
      </w:r>
      <w:r w:rsidR="00230F60" w:rsidRPr="00A16133">
        <w:t xml:space="preserve"> </w:t>
      </w:r>
      <w:r w:rsidR="00FE459A" w:rsidRPr="00A16133">
        <w:t>changent</w:t>
      </w:r>
      <w:r w:rsidR="00230F60" w:rsidRPr="00A16133">
        <w:t xml:space="preserve"> de position et zoom selon des scénarios accessibles simplement via une tablette tactile</w:t>
      </w:r>
      <w:r w:rsidR="00FE459A" w:rsidRPr="00A16133">
        <w:t xml:space="preserve"> murale</w:t>
      </w:r>
      <w:r w:rsidR="00230F60" w:rsidRPr="00A16133">
        <w:t>.</w:t>
      </w:r>
      <w:r w:rsidR="00FE459A" w:rsidRPr="00A16133">
        <w:t xml:space="preserve"> L’affichage modulable sous </w:t>
      </w:r>
      <w:r w:rsidR="00743965" w:rsidRPr="00A16133">
        <w:t xml:space="preserve">mosaïque </w:t>
      </w:r>
      <w:r w:rsidR="00A57D4D" w:rsidRPr="00A16133">
        <w:t xml:space="preserve">diffusé sur un moniteur 75’, </w:t>
      </w:r>
      <w:r w:rsidR="00743965" w:rsidRPr="00A16133">
        <w:t>est également modulable simplement. La diffusion</w:t>
      </w:r>
      <w:r w:rsidR="002F1DA4" w:rsidRPr="00A16133">
        <w:t xml:space="preserve"> externe</w:t>
      </w:r>
      <w:r w:rsidR="00743965" w:rsidRPr="00A16133">
        <w:t xml:space="preserve"> </w:t>
      </w:r>
      <w:r w:rsidR="008E1026" w:rsidRPr="00A16133">
        <w:t>(stream) se fait via</w:t>
      </w:r>
      <w:r w:rsidR="00643724" w:rsidRPr="00A16133">
        <w:t xml:space="preserve"> un boitier de diffusion ver</w:t>
      </w:r>
      <w:r w:rsidR="00A22328" w:rsidRPr="00A16133">
        <w:t>s</w:t>
      </w:r>
      <w:r w:rsidR="008E1026" w:rsidRPr="00A16133">
        <w:t xml:space="preserve"> </w:t>
      </w:r>
      <w:r w:rsidR="00791436" w:rsidRPr="00A16133">
        <w:t>Youtube.com (chaine privée).</w:t>
      </w:r>
    </w:p>
    <w:p w14:paraId="597F4F71" w14:textId="2ACF5B7B" w:rsidR="00CF4608" w:rsidRPr="00A16133" w:rsidRDefault="002255D9" w:rsidP="002442AB">
      <w:pPr>
        <w:pStyle w:val="Sansinterligne"/>
        <w:rPr>
          <w:b/>
          <w:bCs/>
        </w:rPr>
      </w:pPr>
      <w:r w:rsidRPr="00A16133">
        <w:t xml:space="preserve">Solution technique basé </w:t>
      </w:r>
      <w:r w:rsidR="00390FC4" w:rsidRPr="00A16133">
        <w:t xml:space="preserve">exclusivement </w:t>
      </w:r>
      <w:r w:rsidRPr="00A16133">
        <w:t>sur de l’équipement Q</w:t>
      </w:r>
      <w:r w:rsidR="00C50FD6" w:rsidRPr="00A16133">
        <w:t>SC SYSTEMS</w:t>
      </w:r>
      <w:r w:rsidR="004925D5" w:rsidRPr="00A16133">
        <w:t xml:space="preserve"> pour</w:t>
      </w:r>
      <w:r w:rsidR="003B7BF2" w:rsidRPr="00A16133">
        <w:t xml:space="preserve"> ampli</w:t>
      </w:r>
      <w:r w:rsidR="00A22328" w:rsidRPr="00A16133">
        <w:t>ficateurs</w:t>
      </w:r>
      <w:r w:rsidR="002F2C03" w:rsidRPr="00A16133">
        <w:t xml:space="preserve"> et</w:t>
      </w:r>
      <w:r w:rsidR="003B7BF2" w:rsidRPr="00A16133">
        <w:t xml:space="preserve"> </w:t>
      </w:r>
      <w:r w:rsidR="004925D5" w:rsidRPr="00A16133">
        <w:t>matrice</w:t>
      </w:r>
      <w:r w:rsidR="002F2C03" w:rsidRPr="00A16133">
        <w:t>s.</w:t>
      </w:r>
    </w:p>
    <w:p w14:paraId="525C5F36" w14:textId="77777777" w:rsidR="002E731E" w:rsidRPr="002F2C03" w:rsidRDefault="002E731E" w:rsidP="002442AB">
      <w:pPr>
        <w:pStyle w:val="Sansinterligne"/>
        <w:rPr>
          <w:b/>
          <w:bCs/>
          <w:color w:val="00B0F0"/>
        </w:rPr>
      </w:pPr>
    </w:p>
    <w:p w14:paraId="4810E55F" w14:textId="6A8D860C" w:rsidR="002442AB" w:rsidRPr="002442AB" w:rsidRDefault="00E43FA5" w:rsidP="002442AB">
      <w:pPr>
        <w:pStyle w:val="Sansinterligne"/>
        <w:rPr>
          <w:b/>
          <w:bCs/>
        </w:rPr>
      </w:pPr>
      <w:r>
        <w:rPr>
          <w:b/>
          <w:bCs/>
        </w:rPr>
        <w:t>R</w:t>
      </w:r>
      <w:r w:rsidR="002442AB" w:rsidRPr="002442AB">
        <w:rPr>
          <w:b/>
          <w:bCs/>
        </w:rPr>
        <w:t>estaurant d’application</w:t>
      </w:r>
      <w:r w:rsidR="002442AB">
        <w:rPr>
          <w:b/>
          <w:bCs/>
        </w:rPr>
        <w:t xml:space="preserve"> Atelier de Pierre</w:t>
      </w:r>
    </w:p>
    <w:p w14:paraId="03FCA96D" w14:textId="179E852E" w:rsidR="002442AB" w:rsidRDefault="002442AB" w:rsidP="002442AB">
      <w:pPr>
        <w:pStyle w:val="Sansinterligne"/>
      </w:pPr>
      <w:r>
        <w:t>Capacité de 40 couverts.</w:t>
      </w:r>
      <w:r>
        <w:br/>
        <w:t>Deux espaces : une salle de restaurant et un accueil pour une surface de 96 m² (2/3 salle de restaurant et un 1/3 accueil) avec une hauteur sous plafond de 2.60.</w:t>
      </w:r>
    </w:p>
    <w:p w14:paraId="702A054A" w14:textId="309CFE23" w:rsidR="002442AB" w:rsidRDefault="002442AB" w:rsidP="002442AB">
      <w:pPr>
        <w:pStyle w:val="Sansinterligne"/>
      </w:pPr>
      <w:r>
        <w:t>Les dispositifs vidéo et audio seront installés dans la partie salle de restaurant</w:t>
      </w:r>
      <w:r w:rsidR="00192402">
        <w:t xml:space="preserve"> identifiée et permettant d’observer 12 personnes environ (4 tables)</w:t>
      </w:r>
    </w:p>
    <w:p w14:paraId="308A4E53" w14:textId="4C1ABAFA" w:rsidR="002442AB" w:rsidRDefault="002442AB" w:rsidP="002442AB">
      <w:r>
        <w:t>Pas de salle régie de prévue</w:t>
      </w:r>
    </w:p>
    <w:p w14:paraId="700C5B16" w14:textId="77777777" w:rsidR="00E43FA5" w:rsidRPr="00E43FA5" w:rsidRDefault="00E43FA5" w:rsidP="00E43FA5">
      <w:pPr>
        <w:pStyle w:val="Sansinterligne"/>
        <w:rPr>
          <w:b/>
          <w:bCs/>
        </w:rPr>
      </w:pPr>
      <w:r w:rsidRPr="00E43FA5">
        <w:rPr>
          <w:b/>
          <w:bCs/>
        </w:rPr>
        <w:t>S</w:t>
      </w:r>
      <w:r w:rsidR="002442AB" w:rsidRPr="00E43FA5">
        <w:rPr>
          <w:b/>
          <w:bCs/>
        </w:rPr>
        <w:t>alle Bar</w:t>
      </w:r>
    </w:p>
    <w:p w14:paraId="56290799" w14:textId="7EBB8687" w:rsidR="00F30C68" w:rsidRDefault="00F30C68" w:rsidP="00E43FA5">
      <w:pPr>
        <w:pStyle w:val="Sansinterligne"/>
      </w:pPr>
      <w:r>
        <w:t xml:space="preserve">Une surface de 46.16 m² dans lequel nous trouvons en mobilier principal, un bar et des tables et chaises pouvant accueillir 16 </w:t>
      </w:r>
      <w:r w:rsidR="00E43FA5">
        <w:t>jeunes maximums</w:t>
      </w:r>
      <w:r>
        <w:t xml:space="preserve"> avec un enseignant.</w:t>
      </w:r>
      <w:r>
        <w:br/>
        <w:t xml:space="preserve">un écran </w:t>
      </w:r>
      <w:r w:rsidR="00451703">
        <w:t>tactile</w:t>
      </w:r>
    </w:p>
    <w:p w14:paraId="4FEDF49D" w14:textId="77777777" w:rsidR="00E43FA5" w:rsidRDefault="00E43FA5" w:rsidP="00E43FA5">
      <w:r>
        <w:t>Pas de salle régie de prévue</w:t>
      </w:r>
    </w:p>
    <w:p w14:paraId="772553ED" w14:textId="7F07DAAA" w:rsidR="00F33EB8" w:rsidRPr="00451703" w:rsidRDefault="00F33EB8" w:rsidP="00451703">
      <w:pPr>
        <w:pStyle w:val="Sansinterligne"/>
        <w:rPr>
          <w:b/>
          <w:bCs/>
        </w:rPr>
      </w:pPr>
      <w:r w:rsidRPr="00451703">
        <w:rPr>
          <w:b/>
          <w:bCs/>
        </w:rPr>
        <w:t>Salle sommellerie</w:t>
      </w:r>
    </w:p>
    <w:p w14:paraId="5E20E3F8" w14:textId="660637C8" w:rsidR="00F33EB8" w:rsidRPr="00451703" w:rsidRDefault="00F33EB8" w:rsidP="00451703">
      <w:pPr>
        <w:pStyle w:val="Sansinterligne"/>
      </w:pPr>
      <w:r w:rsidRPr="00451703">
        <w:t>Une surface d</w:t>
      </w:r>
      <w:r w:rsidR="00451703" w:rsidRPr="00451703">
        <w:t>’environ 30 m dans lequel nous trouverons en mobilier principal des tables et des chaises et/ou tabourets permettant d’accueillir 15 jeunes et un enseignant. Un écran tactile permettra d’animer le cours</w:t>
      </w:r>
      <w:r w:rsidR="00451703">
        <w:t>.</w:t>
      </w:r>
    </w:p>
    <w:p w14:paraId="23B0C7CE" w14:textId="77777777" w:rsidR="00E43FA5" w:rsidRPr="000E5982" w:rsidRDefault="00E43FA5" w:rsidP="00E43FA5">
      <w:pPr>
        <w:pStyle w:val="Sansinterligne"/>
      </w:pPr>
    </w:p>
    <w:p w14:paraId="10A35925" w14:textId="226B79D2" w:rsidR="00922C91" w:rsidRPr="00A16133" w:rsidRDefault="00E43FA5" w:rsidP="00922C91">
      <w:pPr>
        <w:pStyle w:val="Titre1"/>
        <w:rPr>
          <w:color w:val="auto"/>
        </w:rPr>
      </w:pPr>
      <w:r w:rsidRPr="00A16133">
        <w:rPr>
          <w:color w:val="auto"/>
        </w:rPr>
        <w:t>4</w:t>
      </w:r>
      <w:r w:rsidR="00922C91" w:rsidRPr="00A16133">
        <w:rPr>
          <w:color w:val="auto"/>
        </w:rPr>
        <w:t xml:space="preserve">. Objet du </w:t>
      </w:r>
      <w:r w:rsidR="00536164" w:rsidRPr="00A16133">
        <w:rPr>
          <w:color w:val="auto"/>
        </w:rPr>
        <w:t>marché</w:t>
      </w:r>
      <w:r w:rsidR="00922C91" w:rsidRPr="00A16133">
        <w:rPr>
          <w:color w:val="auto"/>
        </w:rPr>
        <w:t xml:space="preserve"> </w:t>
      </w:r>
    </w:p>
    <w:p w14:paraId="467434C6" w14:textId="50D9AA65" w:rsidR="00922C91" w:rsidRDefault="00922C91" w:rsidP="00CD3433">
      <w:r w:rsidRPr="00A16133">
        <w:t>Le présent marché concerne la fourniture, la livraison</w:t>
      </w:r>
      <w:r w:rsidR="00A16133" w:rsidRPr="00A16133">
        <w:t xml:space="preserve">, </w:t>
      </w:r>
      <w:r w:rsidRPr="00A16133">
        <w:t>l’installation</w:t>
      </w:r>
      <w:r w:rsidR="00ED7E77" w:rsidRPr="00A16133">
        <w:t xml:space="preserve"> et la maintenance</w:t>
      </w:r>
      <w:r w:rsidRPr="00A16133">
        <w:t xml:space="preserve"> de matériels</w:t>
      </w:r>
      <w:r w:rsidR="00143E75" w:rsidRPr="00A16133">
        <w:t xml:space="preserve"> et logiciels</w:t>
      </w:r>
      <w:r w:rsidRPr="00A16133">
        <w:t xml:space="preserve"> pour la création </w:t>
      </w:r>
      <w:r w:rsidR="006E1842" w:rsidRPr="00A16133">
        <w:t xml:space="preserve">d’un dispositif numérique concernant deux salles (Salle de </w:t>
      </w:r>
      <w:r w:rsidR="006E1842">
        <w:t>restaurant et une salle bar)</w:t>
      </w:r>
    </w:p>
    <w:p w14:paraId="3C01427E" w14:textId="77777777" w:rsidR="00922C91" w:rsidRDefault="00922C91" w:rsidP="00CD3433">
      <w:r w:rsidRPr="00922C91">
        <w:lastRenderedPageBreak/>
        <w:t xml:space="preserve">Le marché comprend : </w:t>
      </w:r>
    </w:p>
    <w:p w14:paraId="7629826D" w14:textId="798EB50B" w:rsidR="00922C91" w:rsidRDefault="00922C91" w:rsidP="00922C91">
      <w:pPr>
        <w:spacing w:after="0"/>
      </w:pPr>
      <w:r w:rsidRPr="00922C91">
        <w:sym w:font="Symbol" w:char="F0AE"/>
      </w:r>
      <w:r w:rsidRPr="00922C91">
        <w:t xml:space="preserve"> L’acquisition des matériels </w:t>
      </w:r>
      <w:r w:rsidR="00143E75">
        <w:t xml:space="preserve">et logiciels </w:t>
      </w:r>
      <w:r w:rsidRPr="00922C91">
        <w:t xml:space="preserve">; </w:t>
      </w:r>
    </w:p>
    <w:p w14:paraId="4F3E0DA4" w14:textId="2C089BF0" w:rsidR="00527639" w:rsidRDefault="00527639" w:rsidP="00527639">
      <w:pPr>
        <w:spacing w:after="0"/>
      </w:pPr>
      <w:r w:rsidRPr="00922C91">
        <w:sym w:font="Symbol" w:char="F0AE"/>
      </w:r>
      <w:r w:rsidRPr="00922C91">
        <w:t xml:space="preserve"> </w:t>
      </w:r>
      <w:r>
        <w:t>La configuration du matériel et le développement de solutions adaptées aux besoins</w:t>
      </w:r>
      <w:r w:rsidR="00143E75">
        <w:t> ;</w:t>
      </w:r>
    </w:p>
    <w:p w14:paraId="2B26D867" w14:textId="1EB8AB7D" w:rsidR="00922C91" w:rsidRDefault="00922C91" w:rsidP="00922C91">
      <w:pPr>
        <w:spacing w:after="0"/>
      </w:pPr>
      <w:r w:rsidRPr="00922C91">
        <w:sym w:font="Symbol" w:char="F0AE"/>
      </w:r>
      <w:r w:rsidRPr="00922C91">
        <w:t xml:space="preserve"> L’installation des équipements</w:t>
      </w:r>
      <w:r w:rsidR="00143E75">
        <w:t xml:space="preserve"> et logiciels</w:t>
      </w:r>
      <w:r w:rsidRPr="00922C91">
        <w:t xml:space="preserve"> ; </w:t>
      </w:r>
    </w:p>
    <w:p w14:paraId="7E435631" w14:textId="50E31D8A" w:rsidR="00922C91" w:rsidRDefault="00922C91" w:rsidP="00922C91">
      <w:pPr>
        <w:spacing w:after="0"/>
      </w:pPr>
      <w:r w:rsidRPr="00922C91">
        <w:sym w:font="Symbol" w:char="F0AE"/>
      </w:r>
      <w:r w:rsidRPr="00922C91">
        <w:t xml:space="preserve"> La formation </w:t>
      </w:r>
      <w:r>
        <w:t xml:space="preserve">à l’utilisation des équipements </w:t>
      </w:r>
      <w:r w:rsidR="00143E75">
        <w:t xml:space="preserve">et logiciels </w:t>
      </w:r>
      <w:r>
        <w:t>en distinguant les formateurs et les équipes techniques de la CCI</w:t>
      </w:r>
      <w:r w:rsidR="00527639">
        <w:t> ;</w:t>
      </w:r>
    </w:p>
    <w:p w14:paraId="782C49EE" w14:textId="5E6FF1D7" w:rsidR="00755379" w:rsidRDefault="00922C91" w:rsidP="00922C91">
      <w:pPr>
        <w:spacing w:after="0"/>
      </w:pPr>
      <w:r w:rsidRPr="00922C91">
        <w:sym w:font="Symbol" w:char="F0AE"/>
      </w:r>
      <w:r w:rsidRPr="00922C91">
        <w:t xml:space="preserve"> La mise en service ; </w:t>
      </w:r>
    </w:p>
    <w:p w14:paraId="4E7BFD4B" w14:textId="1A0ECFD6" w:rsidR="002F73B4" w:rsidRDefault="00922C91" w:rsidP="00922C91">
      <w:pPr>
        <w:spacing w:after="0"/>
      </w:pPr>
      <w:r w:rsidRPr="00922C91">
        <w:sym w:font="Symbol" w:char="F0AE"/>
      </w:r>
      <w:r w:rsidRPr="00922C91">
        <w:t xml:space="preserve"> La garantie et la maintenance du matériel durant la garantie.</w:t>
      </w:r>
    </w:p>
    <w:p w14:paraId="2AA8A937" w14:textId="33AFC594" w:rsidR="00922C91" w:rsidRDefault="00922C91" w:rsidP="00922C91">
      <w:pPr>
        <w:spacing w:after="0"/>
      </w:pPr>
    </w:p>
    <w:p w14:paraId="7D32314C" w14:textId="7BEF5177" w:rsidR="00922C91" w:rsidRDefault="00922C91" w:rsidP="00922C91">
      <w:pPr>
        <w:spacing w:after="0"/>
        <w:rPr>
          <w:color w:val="FF0000"/>
        </w:rPr>
      </w:pPr>
      <w:bookmarkStart w:id="0" w:name="_Hlk178691766"/>
      <w:r w:rsidRPr="00755379">
        <w:t>La présente consultation n’est pas allotie</w:t>
      </w:r>
      <w:r w:rsidR="00755379">
        <w:t>.</w:t>
      </w:r>
      <w:bookmarkEnd w:id="0"/>
    </w:p>
    <w:p w14:paraId="4261DF61" w14:textId="74B42B6D" w:rsidR="00922C91" w:rsidRDefault="00E43FA5" w:rsidP="00922C91">
      <w:pPr>
        <w:pStyle w:val="Titre1"/>
      </w:pPr>
      <w:r>
        <w:t>5</w:t>
      </w:r>
      <w:r w:rsidR="00922C91">
        <w:t>.</w:t>
      </w:r>
      <w:r w:rsidR="00527639">
        <w:t xml:space="preserve"> </w:t>
      </w:r>
      <w:r w:rsidR="00755379">
        <w:t xml:space="preserve">Fournitures </w:t>
      </w:r>
      <w:r w:rsidR="006E1842">
        <w:t xml:space="preserve">et </w:t>
      </w:r>
      <w:r w:rsidR="00D601A9">
        <w:t xml:space="preserve">les </w:t>
      </w:r>
      <w:r w:rsidR="00755379">
        <w:t>attendu</w:t>
      </w:r>
      <w:r w:rsidR="006E1842">
        <w:t>s du dispositif</w:t>
      </w:r>
    </w:p>
    <w:p w14:paraId="78F9E00A" w14:textId="77777777" w:rsidR="00922C91" w:rsidRDefault="00922C91" w:rsidP="00922C91"/>
    <w:p w14:paraId="4A4B3130" w14:textId="5442BFF6" w:rsidR="003A5AFB" w:rsidRPr="00A16133" w:rsidRDefault="006E1842" w:rsidP="00922C91">
      <w:pPr>
        <w:rPr>
          <w:b/>
          <w:bCs/>
        </w:rPr>
      </w:pPr>
      <w:r w:rsidRPr="00A16133">
        <w:rPr>
          <w:u w:val="single"/>
        </w:rPr>
        <w:t>Pour la salle de restaurant</w:t>
      </w:r>
      <w:r w:rsidR="003A5AFB" w:rsidRPr="00A16133">
        <w:rPr>
          <w:u w:val="single"/>
        </w:rPr>
        <w:t xml:space="preserve"> </w:t>
      </w:r>
      <w:r w:rsidR="003A5AFB" w:rsidRPr="00A16133">
        <w:t xml:space="preserve">: </w:t>
      </w:r>
    </w:p>
    <w:p w14:paraId="7BB61A86" w14:textId="00BCB9D3" w:rsidR="006E1842" w:rsidRPr="00D20EE8" w:rsidRDefault="006E1842" w:rsidP="006E1842">
      <w:pPr>
        <w:numPr>
          <w:ilvl w:val="0"/>
          <w:numId w:val="12"/>
        </w:numPr>
      </w:pPr>
      <w:r w:rsidRPr="00A16133">
        <w:t xml:space="preserve">Une captation vidéo en full HD </w:t>
      </w:r>
      <w:r w:rsidR="001E68A2" w:rsidRPr="00A16133">
        <w:t xml:space="preserve">minimum </w:t>
      </w:r>
      <w:r w:rsidRPr="00A16133">
        <w:t>par l’intermédiaire d</w:t>
      </w:r>
      <w:r w:rsidR="003C69D2" w:rsidRPr="00A16133">
        <w:t>’un certain nombre de</w:t>
      </w:r>
      <w:r w:rsidRPr="00A16133">
        <w:t xml:space="preserve"> cameras </w:t>
      </w:r>
      <w:r w:rsidR="0049251F" w:rsidRPr="00A16133">
        <w:t>motorisé</w:t>
      </w:r>
      <w:r w:rsidR="00A16133">
        <w:t>es</w:t>
      </w:r>
      <w:r w:rsidR="0049251F" w:rsidRPr="00A16133">
        <w:t xml:space="preserve"> si nécessaire</w:t>
      </w:r>
      <w:r w:rsidR="00371157" w:rsidRPr="00A16133">
        <w:t xml:space="preserve">, </w:t>
      </w:r>
      <w:r w:rsidR="003C69D2" w:rsidRPr="00A16133">
        <w:t xml:space="preserve">permettant de filmer 12 personnes </w:t>
      </w:r>
      <w:r w:rsidR="004156BC" w:rsidRPr="00A16133">
        <w:t xml:space="preserve">en simultanée </w:t>
      </w:r>
      <w:r w:rsidR="003C69D2">
        <w:t>(environ 3 tables de 4 personnes)</w:t>
      </w:r>
    </w:p>
    <w:p w14:paraId="1424798C" w14:textId="71A4F35E" w:rsidR="006E1842" w:rsidRPr="00D20EE8" w:rsidRDefault="006E1842" w:rsidP="006E1842">
      <w:pPr>
        <w:numPr>
          <w:ilvl w:val="0"/>
          <w:numId w:val="12"/>
        </w:numPr>
      </w:pPr>
      <w:r w:rsidRPr="00D20EE8">
        <w:t xml:space="preserve">Enregistrement des 4 flux vidéo séparés </w:t>
      </w:r>
      <w:r w:rsidR="004156BC">
        <w:t>(dont une vue panoramique de l’ensemble du restaurant)</w:t>
      </w:r>
    </w:p>
    <w:p w14:paraId="5657B4DE" w14:textId="0564E05B" w:rsidR="006E1842" w:rsidRPr="00D20EE8" w:rsidRDefault="006E1842" w:rsidP="006E1842">
      <w:pPr>
        <w:numPr>
          <w:ilvl w:val="0"/>
          <w:numId w:val="12"/>
        </w:numPr>
      </w:pPr>
      <w:r w:rsidRPr="00D20EE8">
        <w:t>Une commande des positions de camera en positions enregistrées ou l</w:t>
      </w:r>
      <w:r>
        <w:t xml:space="preserve">a possibilité de </w:t>
      </w:r>
      <w:r w:rsidRPr="00D20EE8">
        <w:t>piloter manuellement</w:t>
      </w:r>
    </w:p>
    <w:p w14:paraId="7DC28DA6" w14:textId="2D018BBB" w:rsidR="006E1842" w:rsidRPr="00D20EE8" w:rsidRDefault="006E1842" w:rsidP="006E1842">
      <w:pPr>
        <w:numPr>
          <w:ilvl w:val="0"/>
          <w:numId w:val="12"/>
        </w:numPr>
      </w:pPr>
      <w:r>
        <w:t>L’</w:t>
      </w:r>
      <w:r w:rsidRPr="00D20EE8">
        <w:t>enregistrement du son par zone, lié à la position de la caméra et synchronisé avec la vidéo</w:t>
      </w:r>
    </w:p>
    <w:p w14:paraId="2BC113D0" w14:textId="77777777" w:rsidR="006E1842" w:rsidRPr="00D20EE8" w:rsidRDefault="006E1842" w:rsidP="006E1842">
      <w:pPr>
        <w:numPr>
          <w:ilvl w:val="0"/>
          <w:numId w:val="12"/>
        </w:numPr>
      </w:pPr>
      <w:r w:rsidRPr="00D20EE8">
        <w:t>Un stockage des 4 flux vidéo et son</w:t>
      </w:r>
    </w:p>
    <w:p w14:paraId="2921EBCE" w14:textId="604AAEC6" w:rsidR="006E1842" w:rsidRPr="00D20EE8" w:rsidRDefault="006E1842" w:rsidP="006E1842">
      <w:pPr>
        <w:numPr>
          <w:ilvl w:val="0"/>
          <w:numId w:val="12"/>
        </w:numPr>
      </w:pPr>
      <w:r w:rsidRPr="00D20EE8">
        <w:t>Un control en live des cameras par l’intermédiaire d’écran de contr</w:t>
      </w:r>
      <w:r w:rsidR="00267D11">
        <w:t>ôle</w:t>
      </w:r>
      <w:r w:rsidRPr="00D20EE8">
        <w:t>.</w:t>
      </w:r>
    </w:p>
    <w:p w14:paraId="155FFE21" w14:textId="36AF3CDA" w:rsidR="006E1842" w:rsidRPr="00D20EE8" w:rsidRDefault="006E1842" w:rsidP="006E1842">
      <w:pPr>
        <w:numPr>
          <w:ilvl w:val="0"/>
          <w:numId w:val="12"/>
        </w:numPr>
      </w:pPr>
      <w:r w:rsidRPr="00D20EE8">
        <w:t>Une tablette qui permet de contrôler les caméras (changement de position</w:t>
      </w:r>
      <w:r>
        <w:t>s</w:t>
      </w:r>
      <w:r w:rsidRPr="00D20EE8">
        <w:t xml:space="preserve"> enregistré</w:t>
      </w:r>
      <w:r>
        <w:t>e</w:t>
      </w:r>
      <w:r w:rsidRPr="00D20EE8">
        <w:t>s), de lancer l’enregistrement, de le finir</w:t>
      </w:r>
      <w:r w:rsidR="002F4DD6">
        <w:t xml:space="preserve"> (régie mobile)</w:t>
      </w:r>
    </w:p>
    <w:p w14:paraId="1EA4E59F" w14:textId="63318075" w:rsidR="006E1842" w:rsidRPr="00A16133" w:rsidRDefault="006E1842" w:rsidP="006E1842">
      <w:pPr>
        <w:numPr>
          <w:ilvl w:val="0"/>
          <w:numId w:val="12"/>
        </w:numPr>
      </w:pPr>
      <w:r w:rsidRPr="00A16133">
        <w:t xml:space="preserve">L’appareil de stockage, permettra de consulter les vidéos des </w:t>
      </w:r>
      <w:r w:rsidR="00937C7E" w:rsidRPr="00A16133">
        <w:t>s</w:t>
      </w:r>
      <w:r w:rsidRPr="00A16133">
        <w:t>essions, grâce à un logiciel simple</w:t>
      </w:r>
      <w:r w:rsidR="00C32CD2" w:rsidRPr="00A16133">
        <w:t xml:space="preserve"> d’utilisation</w:t>
      </w:r>
      <w:r w:rsidRPr="00A16133">
        <w:t>.</w:t>
      </w:r>
    </w:p>
    <w:p w14:paraId="0E7D04D7" w14:textId="72F390BE" w:rsidR="006E1842" w:rsidRPr="00A16133" w:rsidRDefault="0093794F" w:rsidP="0093794F">
      <w:pPr>
        <w:pStyle w:val="Paragraphedeliste"/>
        <w:numPr>
          <w:ilvl w:val="0"/>
          <w:numId w:val="12"/>
        </w:numPr>
      </w:pPr>
      <w:r w:rsidRPr="00A16133">
        <w:t>La pleine compatibilité avec l’écosystème existant dans le Food Lab</w:t>
      </w:r>
    </w:p>
    <w:p w14:paraId="55D00BC5" w14:textId="77777777" w:rsidR="00744454" w:rsidRPr="00A16133" w:rsidRDefault="00744454" w:rsidP="00744454">
      <w:pPr>
        <w:pStyle w:val="Paragraphedeliste"/>
      </w:pPr>
    </w:p>
    <w:p w14:paraId="50F24320" w14:textId="48F8C79E" w:rsidR="003747E1" w:rsidRPr="00A16133" w:rsidRDefault="003747E1" w:rsidP="0093794F">
      <w:pPr>
        <w:pStyle w:val="Paragraphedeliste"/>
        <w:numPr>
          <w:ilvl w:val="0"/>
          <w:numId w:val="12"/>
        </w:numPr>
      </w:pPr>
      <w:r w:rsidRPr="00A16133">
        <w:t xml:space="preserve">Une solution </w:t>
      </w:r>
      <w:r w:rsidR="005859CC" w:rsidRPr="00A16133">
        <w:t xml:space="preserve">stable et </w:t>
      </w:r>
      <w:r w:rsidRPr="00A16133">
        <w:t>évolutive dans sa configuration</w:t>
      </w:r>
      <w:r w:rsidR="003B13F4" w:rsidRPr="00A16133">
        <w:t xml:space="preserve">, </w:t>
      </w:r>
      <w:r w:rsidR="00E929B4" w:rsidRPr="00A16133">
        <w:t>ses mises à jour</w:t>
      </w:r>
      <w:r w:rsidR="005859CC" w:rsidRPr="00A16133">
        <w:t xml:space="preserve"> et </w:t>
      </w:r>
      <w:r w:rsidR="00E75D6F" w:rsidRPr="00A16133">
        <w:t>le suivi constructeur.</w:t>
      </w:r>
    </w:p>
    <w:p w14:paraId="2FFEB1C5" w14:textId="77777777" w:rsidR="000609BE" w:rsidRDefault="000609BE" w:rsidP="000609BE"/>
    <w:p w14:paraId="60F8DCD9" w14:textId="77777777" w:rsidR="00A16133" w:rsidRPr="00D20EE8" w:rsidRDefault="00A16133" w:rsidP="000609BE"/>
    <w:p w14:paraId="6D2F5D1B" w14:textId="6109B177" w:rsidR="006E1842" w:rsidRPr="00451703" w:rsidRDefault="006E1842" w:rsidP="006E1842">
      <w:pPr>
        <w:rPr>
          <w:u w:val="single"/>
        </w:rPr>
      </w:pPr>
      <w:r w:rsidRPr="00451703">
        <w:rPr>
          <w:u w:val="single"/>
        </w:rPr>
        <w:lastRenderedPageBreak/>
        <w:t>Pour la salle bar</w:t>
      </w:r>
      <w:r w:rsidR="00451703">
        <w:rPr>
          <w:u w:val="single"/>
        </w:rPr>
        <w:t> :</w:t>
      </w:r>
    </w:p>
    <w:p w14:paraId="3C61C79A" w14:textId="4577C217" w:rsidR="00133204" w:rsidRPr="00A16133" w:rsidRDefault="00133204" w:rsidP="00133204">
      <w:pPr>
        <w:pStyle w:val="Paragraphedeliste"/>
        <w:numPr>
          <w:ilvl w:val="0"/>
          <w:numId w:val="12"/>
        </w:numPr>
      </w:pPr>
      <w:r w:rsidRPr="00A16133">
        <w:t>Un écran tactile (65 pouces</w:t>
      </w:r>
      <w:r w:rsidR="00470A35" w:rsidRPr="00A16133">
        <w:t xml:space="preserve"> ou plus selon préconisation</w:t>
      </w:r>
      <w:r w:rsidRPr="00A16133">
        <w:t>) avec la possibilité d’utiliser internet dans une logique d’animation et de pédagogie avec la possibilité d’une projection sans fil à partir d</w:t>
      </w:r>
      <w:r w:rsidR="002B09CD" w:rsidRPr="00A16133">
        <w:t>e</w:t>
      </w:r>
      <w:r w:rsidRPr="00A16133">
        <w:t xml:space="preserve"> termina</w:t>
      </w:r>
      <w:r w:rsidR="002B09CD" w:rsidRPr="00A16133">
        <w:t>ux</w:t>
      </w:r>
      <w:r w:rsidRPr="00A16133">
        <w:t xml:space="preserve"> mobile</w:t>
      </w:r>
      <w:r w:rsidR="002B09CD" w:rsidRPr="00A16133">
        <w:t>s</w:t>
      </w:r>
      <w:r w:rsidR="00F833C1" w:rsidRPr="00A16133">
        <w:t> </w:t>
      </w:r>
      <w:r w:rsidR="002B2F60" w:rsidRPr="00A16133">
        <w:t xml:space="preserve">(ordinateur, tablette, smartphone…) </w:t>
      </w:r>
      <w:r w:rsidR="00C92F53" w:rsidRPr="00A16133">
        <w:t xml:space="preserve">de différentes marques et système </w:t>
      </w:r>
      <w:r w:rsidR="00B20B0E" w:rsidRPr="00A16133">
        <w:t>d’exploitation</w:t>
      </w:r>
      <w:r w:rsidR="002B2F60" w:rsidRPr="00A16133">
        <w:t xml:space="preserve">. </w:t>
      </w:r>
      <w:r w:rsidR="00B20B0E" w:rsidRPr="00A16133">
        <w:t xml:space="preserve">Dans la mesure du possible, sans avoir recours à une application </w:t>
      </w:r>
      <w:r w:rsidR="004B5676" w:rsidRPr="00A16133">
        <w:t>logicielle tierce</w:t>
      </w:r>
      <w:r w:rsidR="00B20B0E" w:rsidRPr="00A16133">
        <w:t>.</w:t>
      </w:r>
    </w:p>
    <w:p w14:paraId="797DBDFD" w14:textId="0AAE06FF" w:rsidR="00DE07F8" w:rsidRPr="00A16133" w:rsidRDefault="00DE07F8" w:rsidP="00DE07F8">
      <w:pPr>
        <w:rPr>
          <w:u w:val="single"/>
        </w:rPr>
      </w:pPr>
      <w:r w:rsidRPr="00A16133">
        <w:rPr>
          <w:u w:val="single"/>
        </w:rPr>
        <w:t>Pour la salle de la sommellerie</w:t>
      </w:r>
      <w:r w:rsidR="00451703" w:rsidRPr="00A16133">
        <w:rPr>
          <w:u w:val="single"/>
        </w:rPr>
        <w:t> :</w:t>
      </w:r>
    </w:p>
    <w:p w14:paraId="3DF4DC2B" w14:textId="77777777" w:rsidR="003A18B8" w:rsidRPr="00A16133" w:rsidRDefault="003A18B8" w:rsidP="003A18B8">
      <w:pPr>
        <w:pStyle w:val="Paragraphedeliste"/>
        <w:numPr>
          <w:ilvl w:val="0"/>
          <w:numId w:val="12"/>
        </w:numPr>
      </w:pPr>
      <w:r w:rsidRPr="00A16133">
        <w:t>Un écran tactile (65 pouces ou plus selon préconisation) avec la possibilité d’utiliser internet dans une logique d’animation et de pédagogie avec la possibilité d’une projection sans fil à partir de terminaux mobiles (ordinateur, tablette, smartphone…) de différentes marques et système d’exploitation. Dans la mesure du possible, sans avoir recours à une application logicielle tierce.</w:t>
      </w:r>
    </w:p>
    <w:p w14:paraId="3BB918A6" w14:textId="77777777" w:rsidR="003A18B8" w:rsidRDefault="003A18B8" w:rsidP="00DE07F8"/>
    <w:p w14:paraId="187099A7" w14:textId="04A7FD9D" w:rsidR="00DE07F8" w:rsidRPr="00D20EE8" w:rsidRDefault="00DE07F8" w:rsidP="00DE07F8">
      <w:r>
        <w:t>L</w:t>
      </w:r>
      <w:r w:rsidR="0091033C">
        <w:t>es</w:t>
      </w:r>
      <w:r>
        <w:t xml:space="preserve"> solution</w:t>
      </w:r>
      <w:r w:rsidR="0091033C">
        <w:t xml:space="preserve">s </w:t>
      </w:r>
      <w:r>
        <w:t>devr</w:t>
      </w:r>
      <w:r w:rsidR="0091033C">
        <w:t>ont</w:t>
      </w:r>
      <w:r>
        <w:t xml:space="preserve"> rester simple d’utilisation pour des enseignants spécialisés dans le secteur de l’hôtellerie restauration.</w:t>
      </w:r>
    </w:p>
    <w:p w14:paraId="229D3246" w14:textId="05A9BC0F" w:rsidR="00527639" w:rsidRDefault="00E43FA5" w:rsidP="00527639">
      <w:pPr>
        <w:pStyle w:val="Titre1"/>
      </w:pPr>
      <w:r>
        <w:t>6</w:t>
      </w:r>
      <w:r w:rsidR="00FB5639">
        <w:t>.</w:t>
      </w:r>
      <w:r w:rsidR="00527639">
        <w:t xml:space="preserve"> DELAIS </w:t>
      </w:r>
    </w:p>
    <w:p w14:paraId="33C7B129" w14:textId="1A8F824E" w:rsidR="001A028B" w:rsidRPr="00E43FA5" w:rsidRDefault="00527639" w:rsidP="00E43FA5">
      <w:pPr>
        <w:pStyle w:val="Titre1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52763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Installation et mise en service </w:t>
      </w:r>
      <w:r w:rsidR="00D601A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des dispositifs</w:t>
      </w:r>
      <w:r w:rsidRPr="0052763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A16133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pour une date cible au 30 septembre 2025.</w:t>
      </w:r>
    </w:p>
    <w:p w14:paraId="3129CC15" w14:textId="2E4FF3A0" w:rsidR="001A028B" w:rsidRDefault="00E43FA5" w:rsidP="001A028B">
      <w:pPr>
        <w:pStyle w:val="Titre1"/>
      </w:pPr>
      <w:r>
        <w:t>7</w:t>
      </w:r>
      <w:r w:rsidR="001A028B">
        <w:t>. MAINTENANCE</w:t>
      </w:r>
    </w:p>
    <w:p w14:paraId="63438A9E" w14:textId="77777777" w:rsidR="001A028B" w:rsidRDefault="001A028B" w:rsidP="009F1777">
      <w:pPr>
        <w:spacing w:after="0"/>
        <w:rPr>
          <w:color w:val="FF0000"/>
        </w:rPr>
      </w:pPr>
    </w:p>
    <w:p w14:paraId="4DF18CD1" w14:textId="36A1A395" w:rsidR="001A028B" w:rsidRPr="00A53CF4" w:rsidRDefault="001A028B" w:rsidP="009F1777">
      <w:pPr>
        <w:spacing w:after="0"/>
      </w:pPr>
      <w:r w:rsidRPr="00A53CF4">
        <w:t>Délais de prise en compte d’une demande</w:t>
      </w:r>
      <w:r w:rsidR="00A53CF4">
        <w:t> : 24 heures jour ouvré</w:t>
      </w:r>
      <w:r w:rsidR="006B0F15">
        <w:t>.</w:t>
      </w:r>
    </w:p>
    <w:p w14:paraId="50927964" w14:textId="4060BC0C" w:rsidR="001A028B" w:rsidRPr="00A53CF4" w:rsidRDefault="001A028B" w:rsidP="009F1777">
      <w:pPr>
        <w:spacing w:after="0"/>
      </w:pPr>
      <w:r w:rsidRPr="00A53CF4">
        <w:t>Délais d’une intervention en cas de disfonctionnement majeur</w:t>
      </w:r>
      <w:r w:rsidR="00A53CF4">
        <w:t> : 3 jours ouvrés</w:t>
      </w:r>
      <w:r w:rsidR="006B0F15">
        <w:t>.</w:t>
      </w:r>
    </w:p>
    <w:p w14:paraId="7312B936" w14:textId="4A0E9FDA" w:rsidR="001A028B" w:rsidRPr="00A53CF4" w:rsidRDefault="001A028B" w:rsidP="009F1777">
      <w:pPr>
        <w:spacing w:after="0"/>
      </w:pPr>
      <w:r w:rsidRPr="00A53CF4">
        <w:t>Conditions d’intervention à distance</w:t>
      </w:r>
      <w:r w:rsidR="00A53CF4">
        <w:t xml:space="preserve"> : les </w:t>
      </w:r>
      <w:r w:rsidRPr="00A53CF4">
        <w:t>solution</w:t>
      </w:r>
      <w:r w:rsidR="00A53CF4">
        <w:t>s</w:t>
      </w:r>
      <w:r w:rsidRPr="00A53CF4">
        <w:t xml:space="preserve"> de type TeamViewer </w:t>
      </w:r>
      <w:r w:rsidR="00A53CF4">
        <w:t>ne sont pas</w:t>
      </w:r>
      <w:r w:rsidRPr="00A53CF4">
        <w:t xml:space="preserve"> autorisée</w:t>
      </w:r>
      <w:r w:rsidR="00A53CF4">
        <w:t>s</w:t>
      </w:r>
      <w:r w:rsidRPr="00A53CF4">
        <w:t xml:space="preserve"> par la DSI</w:t>
      </w:r>
      <w:r w:rsidR="00A53CF4">
        <w:t>.</w:t>
      </w:r>
      <w:r w:rsidRPr="00A53CF4">
        <w:t xml:space="preserve"> </w:t>
      </w:r>
      <w:r w:rsidR="00A53CF4">
        <w:t>Il en est de même</w:t>
      </w:r>
      <w:r w:rsidRPr="00A53CF4">
        <w:t xml:space="preserve"> pour la solution de contrôle vidéo à distance</w:t>
      </w:r>
      <w:r w:rsidR="00A53CF4">
        <w:t>.</w:t>
      </w:r>
    </w:p>
    <w:sectPr w:rsidR="001A028B" w:rsidRPr="00A53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F6CB" w14:textId="77777777" w:rsidR="00D337EC" w:rsidRDefault="00D337EC" w:rsidP="00D1494C">
      <w:pPr>
        <w:spacing w:after="0" w:line="240" w:lineRule="auto"/>
      </w:pPr>
      <w:r>
        <w:separator/>
      </w:r>
    </w:p>
  </w:endnote>
  <w:endnote w:type="continuationSeparator" w:id="0">
    <w:p w14:paraId="35A8E67D" w14:textId="77777777" w:rsidR="00D337EC" w:rsidRDefault="00D337EC" w:rsidP="00D1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7A54" w14:textId="77777777" w:rsidR="00D337EC" w:rsidRDefault="00D337EC" w:rsidP="00D1494C">
      <w:pPr>
        <w:spacing w:after="0" w:line="240" w:lineRule="auto"/>
      </w:pPr>
      <w:r>
        <w:separator/>
      </w:r>
    </w:p>
  </w:footnote>
  <w:footnote w:type="continuationSeparator" w:id="0">
    <w:p w14:paraId="1727DD08" w14:textId="77777777" w:rsidR="00D337EC" w:rsidRDefault="00D337EC" w:rsidP="00D1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908C" w14:textId="1AA2BEC1" w:rsidR="00D1494C" w:rsidRDefault="00D1494C">
    <w:pPr>
      <w:pStyle w:val="En-tte"/>
    </w:pPr>
    <w:r>
      <w:rPr>
        <w:b/>
        <w:bCs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707CA42A" wp14:editId="50EE4771">
          <wp:simplePos x="0" y="0"/>
          <wp:positionH relativeFrom="column">
            <wp:posOffset>-514350</wp:posOffset>
          </wp:positionH>
          <wp:positionV relativeFrom="paragraph">
            <wp:posOffset>-191135</wp:posOffset>
          </wp:positionV>
          <wp:extent cx="1364672" cy="393967"/>
          <wp:effectExtent l="0" t="0" r="6985" b="635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672" cy="3939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285A"/>
    <w:multiLevelType w:val="multilevel"/>
    <w:tmpl w:val="88D25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822F4"/>
    <w:multiLevelType w:val="hybridMultilevel"/>
    <w:tmpl w:val="04F2297C"/>
    <w:lvl w:ilvl="0" w:tplc="89700D2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3452A"/>
    <w:multiLevelType w:val="hybridMultilevel"/>
    <w:tmpl w:val="E6E4559C"/>
    <w:lvl w:ilvl="0" w:tplc="FABED12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D28F1"/>
    <w:multiLevelType w:val="hybridMultilevel"/>
    <w:tmpl w:val="DB6442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C5970"/>
    <w:multiLevelType w:val="hybridMultilevel"/>
    <w:tmpl w:val="EB108D56"/>
    <w:lvl w:ilvl="0" w:tplc="FABED124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01DEA"/>
    <w:multiLevelType w:val="hybridMultilevel"/>
    <w:tmpl w:val="A9BC2C46"/>
    <w:lvl w:ilvl="0" w:tplc="FABED12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04467"/>
    <w:multiLevelType w:val="hybridMultilevel"/>
    <w:tmpl w:val="F4786642"/>
    <w:lvl w:ilvl="0" w:tplc="1D3854AE">
      <w:start w:val="101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00606"/>
    <w:multiLevelType w:val="hybridMultilevel"/>
    <w:tmpl w:val="A72CF4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606EE"/>
    <w:multiLevelType w:val="hybridMultilevel"/>
    <w:tmpl w:val="1DE8BB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84"/>
    <w:multiLevelType w:val="hybridMultilevel"/>
    <w:tmpl w:val="1F90507E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584E67EF"/>
    <w:multiLevelType w:val="multilevel"/>
    <w:tmpl w:val="1C46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F16B10"/>
    <w:multiLevelType w:val="hybridMultilevel"/>
    <w:tmpl w:val="1682C7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E3B4A"/>
    <w:multiLevelType w:val="multilevel"/>
    <w:tmpl w:val="AB9A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0A131B"/>
    <w:multiLevelType w:val="hybridMultilevel"/>
    <w:tmpl w:val="665A16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62250"/>
    <w:multiLevelType w:val="hybridMultilevel"/>
    <w:tmpl w:val="23FAABD0"/>
    <w:lvl w:ilvl="0" w:tplc="97FE8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198087">
    <w:abstractNumId w:val="9"/>
  </w:num>
  <w:num w:numId="2" w16cid:durableId="1933051562">
    <w:abstractNumId w:val="13"/>
  </w:num>
  <w:num w:numId="3" w16cid:durableId="1190802097">
    <w:abstractNumId w:val="11"/>
  </w:num>
  <w:num w:numId="4" w16cid:durableId="86854337">
    <w:abstractNumId w:val="3"/>
  </w:num>
  <w:num w:numId="5" w16cid:durableId="1296443555">
    <w:abstractNumId w:val="7"/>
  </w:num>
  <w:num w:numId="6" w16cid:durableId="1616255789">
    <w:abstractNumId w:val="8"/>
  </w:num>
  <w:num w:numId="7" w16cid:durableId="1603879132">
    <w:abstractNumId w:val="2"/>
  </w:num>
  <w:num w:numId="8" w16cid:durableId="1280186938">
    <w:abstractNumId w:val="14"/>
  </w:num>
  <w:num w:numId="9" w16cid:durableId="1801344042">
    <w:abstractNumId w:val="5"/>
  </w:num>
  <w:num w:numId="10" w16cid:durableId="935552002">
    <w:abstractNumId w:val="4"/>
  </w:num>
  <w:num w:numId="11" w16cid:durableId="1610817485">
    <w:abstractNumId w:val="1"/>
  </w:num>
  <w:num w:numId="12" w16cid:durableId="536820131">
    <w:abstractNumId w:val="6"/>
  </w:num>
  <w:num w:numId="13" w16cid:durableId="420568797">
    <w:abstractNumId w:val="10"/>
  </w:num>
  <w:num w:numId="14" w16cid:durableId="435950405">
    <w:abstractNumId w:val="12"/>
  </w:num>
  <w:num w:numId="15" w16cid:durableId="162826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33"/>
    <w:rsid w:val="00001523"/>
    <w:rsid w:val="000151AF"/>
    <w:rsid w:val="000609BE"/>
    <w:rsid w:val="000A5F2F"/>
    <w:rsid w:val="000C2A67"/>
    <w:rsid w:val="000C59A1"/>
    <w:rsid w:val="000E5982"/>
    <w:rsid w:val="00133204"/>
    <w:rsid w:val="00142D5A"/>
    <w:rsid w:val="00143E75"/>
    <w:rsid w:val="00192402"/>
    <w:rsid w:val="001A028B"/>
    <w:rsid w:val="001D1AD0"/>
    <w:rsid w:val="001D7476"/>
    <w:rsid w:val="001E68A2"/>
    <w:rsid w:val="0020795E"/>
    <w:rsid w:val="00221BB1"/>
    <w:rsid w:val="0022414D"/>
    <w:rsid w:val="002255D9"/>
    <w:rsid w:val="00230F60"/>
    <w:rsid w:val="00236195"/>
    <w:rsid w:val="002442AB"/>
    <w:rsid w:val="0024595E"/>
    <w:rsid w:val="002519D5"/>
    <w:rsid w:val="00267D11"/>
    <w:rsid w:val="00272568"/>
    <w:rsid w:val="00283108"/>
    <w:rsid w:val="002B09CD"/>
    <w:rsid w:val="002B2F60"/>
    <w:rsid w:val="002C64E9"/>
    <w:rsid w:val="002E721A"/>
    <w:rsid w:val="002E731E"/>
    <w:rsid w:val="002F1DA4"/>
    <w:rsid w:val="002F2C03"/>
    <w:rsid w:val="002F4DD6"/>
    <w:rsid w:val="002F73B4"/>
    <w:rsid w:val="00312B14"/>
    <w:rsid w:val="00353BEF"/>
    <w:rsid w:val="003700F6"/>
    <w:rsid w:val="00371157"/>
    <w:rsid w:val="003747E1"/>
    <w:rsid w:val="00384AD3"/>
    <w:rsid w:val="00390FC4"/>
    <w:rsid w:val="003A18B8"/>
    <w:rsid w:val="003A5AFB"/>
    <w:rsid w:val="003B13F4"/>
    <w:rsid w:val="003B7BF2"/>
    <w:rsid w:val="003C69D2"/>
    <w:rsid w:val="003D795F"/>
    <w:rsid w:val="003E7A0A"/>
    <w:rsid w:val="003F1292"/>
    <w:rsid w:val="004156BC"/>
    <w:rsid w:val="00427BF4"/>
    <w:rsid w:val="00451703"/>
    <w:rsid w:val="00470A35"/>
    <w:rsid w:val="00472600"/>
    <w:rsid w:val="0049251F"/>
    <w:rsid w:val="004925D5"/>
    <w:rsid w:val="004B5676"/>
    <w:rsid w:val="004C70E4"/>
    <w:rsid w:val="00524416"/>
    <w:rsid w:val="00527639"/>
    <w:rsid w:val="00536164"/>
    <w:rsid w:val="00551F17"/>
    <w:rsid w:val="005859CC"/>
    <w:rsid w:val="005C060B"/>
    <w:rsid w:val="005F2079"/>
    <w:rsid w:val="006406F3"/>
    <w:rsid w:val="00643724"/>
    <w:rsid w:val="006854FB"/>
    <w:rsid w:val="006B0F15"/>
    <w:rsid w:val="006D1495"/>
    <w:rsid w:val="006E06A7"/>
    <w:rsid w:val="006E1842"/>
    <w:rsid w:val="007158C3"/>
    <w:rsid w:val="00743965"/>
    <w:rsid w:val="00744454"/>
    <w:rsid w:val="0075419F"/>
    <w:rsid w:val="00755379"/>
    <w:rsid w:val="00780B2B"/>
    <w:rsid w:val="00791436"/>
    <w:rsid w:val="0082273A"/>
    <w:rsid w:val="00823101"/>
    <w:rsid w:val="00827D6B"/>
    <w:rsid w:val="008344F2"/>
    <w:rsid w:val="00865E75"/>
    <w:rsid w:val="008C1A07"/>
    <w:rsid w:val="008E1026"/>
    <w:rsid w:val="008F2E95"/>
    <w:rsid w:val="00905C2C"/>
    <w:rsid w:val="0091033C"/>
    <w:rsid w:val="009117A4"/>
    <w:rsid w:val="00922C91"/>
    <w:rsid w:val="0093794F"/>
    <w:rsid w:val="00937C7E"/>
    <w:rsid w:val="009471CC"/>
    <w:rsid w:val="00957874"/>
    <w:rsid w:val="00963C60"/>
    <w:rsid w:val="00980841"/>
    <w:rsid w:val="00992A58"/>
    <w:rsid w:val="009E56AD"/>
    <w:rsid w:val="009F041C"/>
    <w:rsid w:val="009F1777"/>
    <w:rsid w:val="00A06372"/>
    <w:rsid w:val="00A16133"/>
    <w:rsid w:val="00A21A90"/>
    <w:rsid w:val="00A22328"/>
    <w:rsid w:val="00A36DC4"/>
    <w:rsid w:val="00A53CF4"/>
    <w:rsid w:val="00A57D4D"/>
    <w:rsid w:val="00A73CE6"/>
    <w:rsid w:val="00A91DEC"/>
    <w:rsid w:val="00AF5454"/>
    <w:rsid w:val="00B20B0E"/>
    <w:rsid w:val="00B40995"/>
    <w:rsid w:val="00B65F74"/>
    <w:rsid w:val="00B6633E"/>
    <w:rsid w:val="00C2037C"/>
    <w:rsid w:val="00C216AA"/>
    <w:rsid w:val="00C32CD2"/>
    <w:rsid w:val="00C50FD6"/>
    <w:rsid w:val="00C92F53"/>
    <w:rsid w:val="00CD3433"/>
    <w:rsid w:val="00CF1C87"/>
    <w:rsid w:val="00CF4608"/>
    <w:rsid w:val="00D1494C"/>
    <w:rsid w:val="00D337EC"/>
    <w:rsid w:val="00D350D5"/>
    <w:rsid w:val="00D601A9"/>
    <w:rsid w:val="00D60BB6"/>
    <w:rsid w:val="00D6542C"/>
    <w:rsid w:val="00D7331A"/>
    <w:rsid w:val="00DB61F3"/>
    <w:rsid w:val="00DB69A2"/>
    <w:rsid w:val="00DE07F8"/>
    <w:rsid w:val="00DE2600"/>
    <w:rsid w:val="00DE4B5D"/>
    <w:rsid w:val="00E04127"/>
    <w:rsid w:val="00E36474"/>
    <w:rsid w:val="00E41106"/>
    <w:rsid w:val="00E43FA5"/>
    <w:rsid w:val="00E753C0"/>
    <w:rsid w:val="00E75D6F"/>
    <w:rsid w:val="00E929B4"/>
    <w:rsid w:val="00EC2B21"/>
    <w:rsid w:val="00ED7E77"/>
    <w:rsid w:val="00F025C6"/>
    <w:rsid w:val="00F11A73"/>
    <w:rsid w:val="00F13941"/>
    <w:rsid w:val="00F24D8F"/>
    <w:rsid w:val="00F30C68"/>
    <w:rsid w:val="00F33EB8"/>
    <w:rsid w:val="00F3415D"/>
    <w:rsid w:val="00F364D8"/>
    <w:rsid w:val="00F62A17"/>
    <w:rsid w:val="00F833C1"/>
    <w:rsid w:val="00FB5639"/>
    <w:rsid w:val="00FE459A"/>
    <w:rsid w:val="00F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1899"/>
  <w15:chartTrackingRefBased/>
  <w15:docId w15:val="{4DEE3978-6731-4C19-92C2-22AFAA5D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FA5"/>
  </w:style>
  <w:style w:type="paragraph" w:styleId="Titre1">
    <w:name w:val="heading 1"/>
    <w:basedOn w:val="Normal"/>
    <w:next w:val="Normal"/>
    <w:link w:val="Titre1Car"/>
    <w:uiPriority w:val="9"/>
    <w:qFormat/>
    <w:rsid w:val="00FF2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2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2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2A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2A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2A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2A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2A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2A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2A4A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F2A4A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F2A4A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FF2A4A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F2A4A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F2A4A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F2A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F2A4A"/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F2A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F2A4A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F2A4A"/>
    <w:pPr>
      <w:pBdr>
        <w:bottom w:val="single" w:sz="8" w:space="4" w:color="15608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F2A4A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3"/>
    <w:qFormat/>
    <w:rsid w:val="00FF2A4A"/>
    <w:pPr>
      <w:numPr>
        <w:ilvl w:val="1"/>
      </w:numPr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3"/>
    <w:rsid w:val="00FF2A4A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FF2A4A"/>
    <w:rPr>
      <w:b/>
      <w:bCs/>
    </w:rPr>
  </w:style>
  <w:style w:type="character" w:styleId="Accentuation">
    <w:name w:val="Emphasis"/>
    <w:basedOn w:val="Policepardfaut"/>
    <w:uiPriority w:val="20"/>
    <w:qFormat/>
    <w:rsid w:val="00FF2A4A"/>
    <w:rPr>
      <w:i/>
      <w:iCs/>
    </w:rPr>
  </w:style>
  <w:style w:type="paragraph" w:styleId="Sansinterligne">
    <w:name w:val="No Spacing"/>
    <w:uiPriority w:val="1"/>
    <w:qFormat/>
    <w:rsid w:val="00FF2A4A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F2A4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F2A4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F2A4A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2A4A"/>
    <w:pPr>
      <w:pBdr>
        <w:bottom w:val="single" w:sz="4" w:space="4" w:color="156082" w:themeColor="accent1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2A4A"/>
    <w:rPr>
      <w:b/>
      <w:bCs/>
      <w:i/>
      <w:iCs/>
      <w:color w:val="156082" w:themeColor="accent1"/>
    </w:rPr>
  </w:style>
  <w:style w:type="character" w:styleId="Accentuationlgre">
    <w:name w:val="Subtle Emphasis"/>
    <w:basedOn w:val="Policepardfaut"/>
    <w:uiPriority w:val="19"/>
    <w:qFormat/>
    <w:rsid w:val="00FF2A4A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F2A4A"/>
    <w:rPr>
      <w:b/>
      <w:bCs/>
      <w:i/>
      <w:iCs/>
      <w:color w:val="156082" w:themeColor="accent1"/>
    </w:rPr>
  </w:style>
  <w:style w:type="character" w:styleId="Rfrencelgre">
    <w:name w:val="Subtle Reference"/>
    <w:basedOn w:val="Policepardfaut"/>
    <w:uiPriority w:val="31"/>
    <w:qFormat/>
    <w:rsid w:val="00FF2A4A"/>
    <w:rPr>
      <w:smallCaps/>
      <w:color w:val="E97132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F2A4A"/>
    <w:rPr>
      <w:b/>
      <w:bCs/>
      <w:smallCaps/>
      <w:color w:val="E97132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F2A4A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F2A4A"/>
    <w:pPr>
      <w:outlineLvl w:val="9"/>
    </w:pPr>
  </w:style>
  <w:style w:type="table" w:styleId="Grilledutableau">
    <w:name w:val="Table Grid"/>
    <w:basedOn w:val="TableauNormal"/>
    <w:uiPriority w:val="59"/>
    <w:rsid w:val="0031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1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494C"/>
  </w:style>
  <w:style w:type="paragraph" w:styleId="Pieddepage">
    <w:name w:val="footer"/>
    <w:basedOn w:val="Normal"/>
    <w:link w:val="PieddepageCar"/>
    <w:uiPriority w:val="99"/>
    <w:unhideWhenUsed/>
    <w:rsid w:val="00D1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494C"/>
  </w:style>
  <w:style w:type="character" w:styleId="Lienhypertexte">
    <w:name w:val="Hyperlink"/>
    <w:basedOn w:val="Policepardfaut"/>
    <w:uiPriority w:val="99"/>
    <w:unhideWhenUsed/>
    <w:rsid w:val="00E4110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110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2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1256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DOURNEAU Sylvain</dc:creator>
  <cp:keywords/>
  <dc:description/>
  <cp:lastModifiedBy>LASSERRE Myriam</cp:lastModifiedBy>
  <cp:revision>3</cp:revision>
  <cp:lastPrinted>2024-09-23T13:48:00Z</cp:lastPrinted>
  <dcterms:created xsi:type="dcterms:W3CDTF">2025-06-27T11:54:00Z</dcterms:created>
  <dcterms:modified xsi:type="dcterms:W3CDTF">2025-06-27T13:59:00Z</dcterms:modified>
</cp:coreProperties>
</file>